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23533,80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2. Здійснення видалення пнів, ліквідація парослі, тощо. 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Чистка каналів на території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741E7" w:rsidP="000741E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331" w:rsidRDefault="00291B3C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</w:t>
            </w:r>
            <w:r w:rsidR="000A4331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4734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 матер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іально-технічної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72C8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51595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348,495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DF1F3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936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1427,801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611264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1257,195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І. Карпенка Карого, (від вул. Революції Гідності,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="00DF7000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М. Мурашка, Щаслива із влаштуванням кільцевої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ід </w:t>
            </w:r>
            <w:proofErr w:type="spellStart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D97F91">
            <w:pPr>
              <w:ind w:left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М-07 до вул. Леха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</w:t>
            </w:r>
            <w:r w:rsidR="00E049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0273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E049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8788,045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273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 w:rsidR="004910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2732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27327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27327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327" w:rsidRPr="003D1806" w:rsidRDefault="00E049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9032,202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327" w:rsidRDefault="00D97F91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391EB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Київської області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шкодженої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Дорошенка),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косіння та прибирання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72C60" w:rsidP="00DF66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="00A73F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552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6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Утримання в належному технічному стані доріг, зливної каналізації дорожньої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9707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</w:t>
            </w:r>
            <w:r w:rsidR="009707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3600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0A4331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Default="005E4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F7C" w:rsidRPr="003D1806" w:rsidRDefault="00CA6F7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E12FA3" w:rsidRPr="003D1806" w:rsidRDefault="00E12FA3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Яблунська,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Яблунська,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Енергетиків, 6,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E1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по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br/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D97F9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дитячого майданчика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вул. Центральна, 33-А,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(відновні роботи) дитячого майданчика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108,125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перетині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вул. Інститутська, в м. Буча,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впровадження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442,227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огорожі 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7C3F5E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огорожі.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1499,924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благоустрою</w:t>
            </w:r>
            <w:r w:rsidR="0044751E">
              <w:rPr>
                <w:rFonts w:ascii="Times New Roman" w:hAnsi="Times New Roman" w:cs="Times New Roman"/>
                <w:sz w:val="24"/>
                <w:szCs w:val="24"/>
              </w:rPr>
              <w:t xml:space="preserve"> навколо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Default="00A20B4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1213,777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тротуару комунальної власності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Центральна,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 вул. Дружби Народів,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740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E826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12-А, у м. Буча,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E2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 дитячого майданчика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12-А, у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0B4C" w:rsidRDefault="00A20B4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311,955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20B4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Безпечне, безперебійне перебування мешканців та гостей міста Буча, залізничною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резервуарів чистої води по вул. Володимира 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для заміни зношених та 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066B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Збільшенню потужності насосної станції 2-го підйому для забезпечення в 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 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огорожі споруди для обслуговування свердловини по 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</w:t>
            </w:r>
            <w:r w:rsidR="00DB31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до вул. А.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вул. Інститутська, (від 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61,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обслуговування свердловини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В. Ковальського, 80,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Належне утримання об’єктів критичної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1016,220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Належне утримання об’єктів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 комунальної власності в межах санітарної зони по вул. В. Ковальського, 67,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978,420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12-В,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9017E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1469,947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</w:t>
            </w:r>
            <w:r w:rsidR="00B701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358, до пожежної водойми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</w:t>
            </w:r>
            <w:proofErr w:type="spellEnd"/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водовідведення талої та дощової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від № 10. по вул. </w:t>
            </w:r>
            <w:proofErr w:type="spellStart"/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Набережна,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B57CC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1B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системи дощової каналізації комунальної власності між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вул. Р. Шухевича, в м. Буча</w:t>
            </w:r>
            <w:r w:rsidR="007879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Організація відведення поверхневог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стоку (талої та дощової води).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E51B0" w:rsidRPr="003D1806" w:rsidRDefault="002E51B0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E51B0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4 по вул. Л. Курбаса, 1В, в м. Буча,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по вул. Паркова,1 в м. Буча 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Яблунська,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</w:p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налізаційних стоків комунальної власності по 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A34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робочої документації, експертиза проектно-кошторисної документації, облаштування 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9A4A34" w:rsidRPr="003D1806" w:rsidRDefault="009A4A34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</w:t>
            </w:r>
            <w:r w:rsidR="00843E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630B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ліцею № 5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30B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D168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ділянок мереж теплопостачання в межах житлових будинків №10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-Г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22а, 28 по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E75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Луб`янка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keepLines/>
              <w:autoSpaceDE w:val="0"/>
              <w:autoSpaceDN w:val="0"/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будівлі  котельні по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с.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Гаврилівка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району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Київської області - заходи з усунення пошкоджень</w:t>
            </w:r>
          </w:p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:rsidR="009A4A34" w:rsidRPr="009A4A34" w:rsidRDefault="009A4A3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2C0F9F" w:rsidRDefault="003D1806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A438E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3D1806" w:rsidRDefault="00E4610B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та 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Default="00E24E02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44751E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В. Ковальського до вул. Інститутська в м. Буча, Київської обл..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44751E" w:rsidRPr="003D1806" w:rsidRDefault="0044751E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751E" w:rsidRDefault="0044751E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 w:rsidR="00C974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780,281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надання комунальних послуг.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Забезпечення переробки, утилізації будівельного сміття. Облаштування тимчасового 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438E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630,226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утилізацію, переробку, оплату послуг, транспортування органічних відходів (листя, гілки), на окремому майданчику 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060A7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Вилов та 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Вилов, ідентифікація, 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494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598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369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Регулювання чисельності безпритульних тварин гуманним 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5060A7" w:rsidRPr="009A4A34" w:rsidRDefault="003D1806" w:rsidP="009A4A34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аварійних дерев, догляд за безрідними могилами, очищення доріжок від снігу та посипання доріжок. Чергування катафалка.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33109">
            <w:pPr>
              <w:widowControl w:val="0"/>
              <w:spacing w:line="240" w:lineRule="auto"/>
              <w:ind w:lef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утримання кладовищ та меморіальних комплексів. Підвищення якості надання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Синяк,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46685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33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Бабинці,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94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E31A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41,0875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9151A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3B5DE3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51</w:t>
            </w:r>
            <w:r w:rsidR="0007444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05</w:t>
            </w:r>
            <w:r w:rsidR="00E31A4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9A4A34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t xml:space="preserve">ачальник інспекції з благоустрою управління житлово - комунального 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Ярослав ДУЧЕНКО</w:t>
      </w: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2 до Порядку</w:t>
      </w: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18347F" w:rsidTr="0018347F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18347F" w:rsidTr="0018347F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47F" w:rsidRDefault="0018347F" w:rsidP="0018347F">
      <w:pPr>
        <w:rPr>
          <w:rFonts w:ascii="Times New Roman" w:hAnsi="Times New Roman" w:cs="Times New Roman"/>
          <w:sz w:val="28"/>
          <w:szCs w:val="28"/>
        </w:rPr>
      </w:pPr>
    </w:p>
    <w:p w:rsidR="0018347F" w:rsidRDefault="0018347F" w:rsidP="001834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</w:t>
      </w:r>
      <w:r w:rsidR="00D50EE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Тарас ШАПРАВСЬКИЙ</w:t>
      </w:r>
    </w:p>
    <w:p w:rsidR="0018347F" w:rsidRDefault="0018347F" w:rsidP="0018347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0EE2" w:rsidRPr="00D50EE2" w:rsidRDefault="009A4A34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</w:t>
      </w:r>
      <w:bookmarkStart w:id="0" w:name="_GoBack"/>
      <w:bookmarkEnd w:id="0"/>
      <w:r w:rsidR="00D50EE2" w:rsidRPr="00D50EE2">
        <w:rPr>
          <w:rFonts w:ascii="Times New Roman" w:hAnsi="Times New Roman" w:cs="Times New Roman"/>
          <w:bCs/>
          <w:sz w:val="28"/>
          <w:szCs w:val="28"/>
        </w:rPr>
        <w:t xml:space="preserve"> інспекції з благоустрою </w:t>
      </w:r>
    </w:p>
    <w:p w:rsidR="00D50EE2" w:rsidRPr="00D50EE2" w:rsidRDefault="00D50EE2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D50EE2">
        <w:rPr>
          <w:rFonts w:ascii="Times New Roman" w:hAnsi="Times New Roman" w:cs="Times New Roman"/>
          <w:bCs/>
          <w:sz w:val="28"/>
          <w:szCs w:val="28"/>
        </w:rPr>
        <w:t xml:space="preserve">управління житлово - комунального </w:t>
      </w:r>
      <w:r w:rsidRPr="00D50EE2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9A4A34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47B" w:rsidRDefault="00BE147B" w:rsidP="003B5DE3">
      <w:pPr>
        <w:spacing w:after="0" w:line="240" w:lineRule="auto"/>
      </w:pPr>
      <w:r>
        <w:separator/>
      </w:r>
    </w:p>
  </w:endnote>
  <w:endnote w:type="continuationSeparator" w:id="0">
    <w:p w:rsidR="00BE147B" w:rsidRDefault="00BE147B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47B" w:rsidRDefault="00BE147B" w:rsidP="003B5DE3">
      <w:pPr>
        <w:spacing w:after="0" w:line="240" w:lineRule="auto"/>
      </w:pPr>
      <w:r>
        <w:separator/>
      </w:r>
    </w:p>
  </w:footnote>
  <w:footnote w:type="continuationSeparator" w:id="0">
    <w:p w:rsidR="00BE147B" w:rsidRDefault="00BE147B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EndPr/>
    <w:sdtContent>
      <w:p w:rsidR="007406EF" w:rsidRDefault="007406E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A34" w:rsidRPr="009A4A34">
          <w:rPr>
            <w:noProof/>
            <w:lang w:val="ru-RU"/>
          </w:rPr>
          <w:t>49</w:t>
        </w:r>
        <w:r>
          <w:fldChar w:fldCharType="end"/>
        </w:r>
      </w:p>
    </w:sdtContent>
  </w:sdt>
  <w:p w:rsidR="007406EF" w:rsidRDefault="007406E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01C0F"/>
    <w:rsid w:val="000149B8"/>
    <w:rsid w:val="000149E9"/>
    <w:rsid w:val="0002561E"/>
    <w:rsid w:val="00027327"/>
    <w:rsid w:val="00040A4B"/>
    <w:rsid w:val="00043301"/>
    <w:rsid w:val="000741E7"/>
    <w:rsid w:val="00074444"/>
    <w:rsid w:val="000808C3"/>
    <w:rsid w:val="00083289"/>
    <w:rsid w:val="00097F2E"/>
    <w:rsid w:val="000A1A5E"/>
    <w:rsid w:val="000A4331"/>
    <w:rsid w:val="000B155C"/>
    <w:rsid w:val="000D1681"/>
    <w:rsid w:val="000E2158"/>
    <w:rsid w:val="001037D9"/>
    <w:rsid w:val="001066B7"/>
    <w:rsid w:val="00120CB8"/>
    <w:rsid w:val="001403A9"/>
    <w:rsid w:val="001420A1"/>
    <w:rsid w:val="00143969"/>
    <w:rsid w:val="00153686"/>
    <w:rsid w:val="00162303"/>
    <w:rsid w:val="0018347F"/>
    <w:rsid w:val="00195B5F"/>
    <w:rsid w:val="001A27A1"/>
    <w:rsid w:val="001B6CD4"/>
    <w:rsid w:val="001C3DF5"/>
    <w:rsid w:val="001C6E79"/>
    <w:rsid w:val="00202BE4"/>
    <w:rsid w:val="002155D2"/>
    <w:rsid w:val="00225FDA"/>
    <w:rsid w:val="00233697"/>
    <w:rsid w:val="00255BF7"/>
    <w:rsid w:val="00260DA5"/>
    <w:rsid w:val="00260E00"/>
    <w:rsid w:val="00272C84"/>
    <w:rsid w:val="00281624"/>
    <w:rsid w:val="00282E9E"/>
    <w:rsid w:val="00283652"/>
    <w:rsid w:val="00291B3C"/>
    <w:rsid w:val="002954BE"/>
    <w:rsid w:val="002A3BA3"/>
    <w:rsid w:val="002C0F9F"/>
    <w:rsid w:val="002D1B89"/>
    <w:rsid w:val="002E51B0"/>
    <w:rsid w:val="002F2747"/>
    <w:rsid w:val="003054FE"/>
    <w:rsid w:val="00305AFD"/>
    <w:rsid w:val="0030772E"/>
    <w:rsid w:val="00326879"/>
    <w:rsid w:val="0033694F"/>
    <w:rsid w:val="00337505"/>
    <w:rsid w:val="00346685"/>
    <w:rsid w:val="00362F73"/>
    <w:rsid w:val="00363BC6"/>
    <w:rsid w:val="00391EBF"/>
    <w:rsid w:val="003B5DE3"/>
    <w:rsid w:val="003D1806"/>
    <w:rsid w:val="003D361D"/>
    <w:rsid w:val="003F4312"/>
    <w:rsid w:val="00407344"/>
    <w:rsid w:val="0041032E"/>
    <w:rsid w:val="00422A0C"/>
    <w:rsid w:val="00436397"/>
    <w:rsid w:val="00444AE8"/>
    <w:rsid w:val="0044751E"/>
    <w:rsid w:val="00455A77"/>
    <w:rsid w:val="00462C8B"/>
    <w:rsid w:val="00466EB9"/>
    <w:rsid w:val="00471594"/>
    <w:rsid w:val="00473FC7"/>
    <w:rsid w:val="0049104C"/>
    <w:rsid w:val="0049591D"/>
    <w:rsid w:val="004A3856"/>
    <w:rsid w:val="004A438E"/>
    <w:rsid w:val="004A7C6A"/>
    <w:rsid w:val="004B32AD"/>
    <w:rsid w:val="004B7A01"/>
    <w:rsid w:val="004C45AC"/>
    <w:rsid w:val="004D1F67"/>
    <w:rsid w:val="004D45F6"/>
    <w:rsid w:val="004D76D2"/>
    <w:rsid w:val="004E0A74"/>
    <w:rsid w:val="004E7507"/>
    <w:rsid w:val="004E7B09"/>
    <w:rsid w:val="00501AEF"/>
    <w:rsid w:val="005060A7"/>
    <w:rsid w:val="00513D1C"/>
    <w:rsid w:val="0051644F"/>
    <w:rsid w:val="00527A67"/>
    <w:rsid w:val="005345E8"/>
    <w:rsid w:val="00537448"/>
    <w:rsid w:val="00551595"/>
    <w:rsid w:val="00556DD9"/>
    <w:rsid w:val="0058093B"/>
    <w:rsid w:val="00586CDC"/>
    <w:rsid w:val="005A3D16"/>
    <w:rsid w:val="005B0DE2"/>
    <w:rsid w:val="005C58EB"/>
    <w:rsid w:val="005D4172"/>
    <w:rsid w:val="005E4D27"/>
    <w:rsid w:val="005F32DC"/>
    <w:rsid w:val="005F5DDA"/>
    <w:rsid w:val="00607607"/>
    <w:rsid w:val="00611264"/>
    <w:rsid w:val="00621D79"/>
    <w:rsid w:val="00630BAC"/>
    <w:rsid w:val="00636539"/>
    <w:rsid w:val="00656036"/>
    <w:rsid w:val="00680BDC"/>
    <w:rsid w:val="00681EFF"/>
    <w:rsid w:val="00683CBE"/>
    <w:rsid w:val="006A1D54"/>
    <w:rsid w:val="006A25CC"/>
    <w:rsid w:val="006A2FC0"/>
    <w:rsid w:val="006B710D"/>
    <w:rsid w:val="006C02E1"/>
    <w:rsid w:val="00717E61"/>
    <w:rsid w:val="00726479"/>
    <w:rsid w:val="007277A1"/>
    <w:rsid w:val="007348F9"/>
    <w:rsid w:val="007406EF"/>
    <w:rsid w:val="00745505"/>
    <w:rsid w:val="00757833"/>
    <w:rsid w:val="00785851"/>
    <w:rsid w:val="0078790C"/>
    <w:rsid w:val="007B165A"/>
    <w:rsid w:val="007B500C"/>
    <w:rsid w:val="007B6A19"/>
    <w:rsid w:val="007C3F5E"/>
    <w:rsid w:val="007D1160"/>
    <w:rsid w:val="007D426D"/>
    <w:rsid w:val="007D6D11"/>
    <w:rsid w:val="007F2628"/>
    <w:rsid w:val="007F7AC8"/>
    <w:rsid w:val="00802E4B"/>
    <w:rsid w:val="008255AE"/>
    <w:rsid w:val="00833109"/>
    <w:rsid w:val="008404C9"/>
    <w:rsid w:val="00843ED4"/>
    <w:rsid w:val="00844F01"/>
    <w:rsid w:val="0084746F"/>
    <w:rsid w:val="00864054"/>
    <w:rsid w:val="00865A75"/>
    <w:rsid w:val="00866658"/>
    <w:rsid w:val="008716E3"/>
    <w:rsid w:val="0087793D"/>
    <w:rsid w:val="00884AF9"/>
    <w:rsid w:val="00891529"/>
    <w:rsid w:val="008B69B4"/>
    <w:rsid w:val="008D0517"/>
    <w:rsid w:val="008E13AD"/>
    <w:rsid w:val="009017EC"/>
    <w:rsid w:val="009151A4"/>
    <w:rsid w:val="00916A60"/>
    <w:rsid w:val="00916AB2"/>
    <w:rsid w:val="00927B13"/>
    <w:rsid w:val="00934643"/>
    <w:rsid w:val="0094576B"/>
    <w:rsid w:val="009473FD"/>
    <w:rsid w:val="00960500"/>
    <w:rsid w:val="00970758"/>
    <w:rsid w:val="00972C60"/>
    <w:rsid w:val="00982894"/>
    <w:rsid w:val="00984754"/>
    <w:rsid w:val="00987D50"/>
    <w:rsid w:val="009A4A34"/>
    <w:rsid w:val="009E08D6"/>
    <w:rsid w:val="009E7A61"/>
    <w:rsid w:val="009F219C"/>
    <w:rsid w:val="00A03B67"/>
    <w:rsid w:val="00A1068D"/>
    <w:rsid w:val="00A20B4C"/>
    <w:rsid w:val="00A60FC4"/>
    <w:rsid w:val="00A73F3C"/>
    <w:rsid w:val="00A8459D"/>
    <w:rsid w:val="00A8761A"/>
    <w:rsid w:val="00AB3E30"/>
    <w:rsid w:val="00AC5017"/>
    <w:rsid w:val="00AC7B9C"/>
    <w:rsid w:val="00AD23BE"/>
    <w:rsid w:val="00AF5481"/>
    <w:rsid w:val="00AF649B"/>
    <w:rsid w:val="00AF752A"/>
    <w:rsid w:val="00B0098D"/>
    <w:rsid w:val="00B56D71"/>
    <w:rsid w:val="00B57CC0"/>
    <w:rsid w:val="00B604DA"/>
    <w:rsid w:val="00B66BF9"/>
    <w:rsid w:val="00B70147"/>
    <w:rsid w:val="00B902CF"/>
    <w:rsid w:val="00B913BE"/>
    <w:rsid w:val="00B97218"/>
    <w:rsid w:val="00BB6144"/>
    <w:rsid w:val="00BE147B"/>
    <w:rsid w:val="00BE5AEA"/>
    <w:rsid w:val="00BF0CF3"/>
    <w:rsid w:val="00BF2F9C"/>
    <w:rsid w:val="00C066EF"/>
    <w:rsid w:val="00C10C65"/>
    <w:rsid w:val="00C22DDA"/>
    <w:rsid w:val="00C24CCF"/>
    <w:rsid w:val="00C255FB"/>
    <w:rsid w:val="00C47346"/>
    <w:rsid w:val="00C554CC"/>
    <w:rsid w:val="00C5618E"/>
    <w:rsid w:val="00C7262F"/>
    <w:rsid w:val="00C97427"/>
    <w:rsid w:val="00CA3D27"/>
    <w:rsid w:val="00CA6F7C"/>
    <w:rsid w:val="00CB30B2"/>
    <w:rsid w:val="00CB3607"/>
    <w:rsid w:val="00CB380C"/>
    <w:rsid w:val="00CB5B25"/>
    <w:rsid w:val="00CC6349"/>
    <w:rsid w:val="00CD5867"/>
    <w:rsid w:val="00CE7257"/>
    <w:rsid w:val="00CF1CAA"/>
    <w:rsid w:val="00D01A8B"/>
    <w:rsid w:val="00D23631"/>
    <w:rsid w:val="00D50EE2"/>
    <w:rsid w:val="00D81EE4"/>
    <w:rsid w:val="00D83405"/>
    <w:rsid w:val="00D96920"/>
    <w:rsid w:val="00D97CEA"/>
    <w:rsid w:val="00D97F91"/>
    <w:rsid w:val="00DA7601"/>
    <w:rsid w:val="00DB3111"/>
    <w:rsid w:val="00DC2CA1"/>
    <w:rsid w:val="00DD2A94"/>
    <w:rsid w:val="00DD706A"/>
    <w:rsid w:val="00DF1F3C"/>
    <w:rsid w:val="00DF3B07"/>
    <w:rsid w:val="00DF6694"/>
    <w:rsid w:val="00DF7000"/>
    <w:rsid w:val="00E00925"/>
    <w:rsid w:val="00E02D01"/>
    <w:rsid w:val="00E049E3"/>
    <w:rsid w:val="00E12FA3"/>
    <w:rsid w:val="00E13FAD"/>
    <w:rsid w:val="00E24E02"/>
    <w:rsid w:val="00E31A4F"/>
    <w:rsid w:val="00E40675"/>
    <w:rsid w:val="00E4610B"/>
    <w:rsid w:val="00E52D8B"/>
    <w:rsid w:val="00E74529"/>
    <w:rsid w:val="00E773CA"/>
    <w:rsid w:val="00E826E2"/>
    <w:rsid w:val="00E832C3"/>
    <w:rsid w:val="00E91227"/>
    <w:rsid w:val="00E92566"/>
    <w:rsid w:val="00EA20D7"/>
    <w:rsid w:val="00EB6B8E"/>
    <w:rsid w:val="00EC1DCF"/>
    <w:rsid w:val="00ED59A1"/>
    <w:rsid w:val="00EE39A2"/>
    <w:rsid w:val="00EE7512"/>
    <w:rsid w:val="00F30C89"/>
    <w:rsid w:val="00F34934"/>
    <w:rsid w:val="00F430F5"/>
    <w:rsid w:val="00F46EAC"/>
    <w:rsid w:val="00F53632"/>
    <w:rsid w:val="00F55C9A"/>
    <w:rsid w:val="00F64942"/>
    <w:rsid w:val="00F64D6C"/>
    <w:rsid w:val="00F75C4A"/>
    <w:rsid w:val="00F80A8F"/>
    <w:rsid w:val="00F93354"/>
    <w:rsid w:val="00F9498C"/>
    <w:rsid w:val="00FA6651"/>
    <w:rsid w:val="00FC3B33"/>
    <w:rsid w:val="00FD5F76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259E8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B685-3352-47BC-9120-8A13F4C3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52</Pages>
  <Words>43953</Words>
  <Characters>25054</Characters>
  <Application>Microsoft Office Word</Application>
  <DocSecurity>0</DocSecurity>
  <Lines>208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203</cp:revision>
  <cp:lastPrinted>2024-08-01T08:28:00Z</cp:lastPrinted>
  <dcterms:created xsi:type="dcterms:W3CDTF">2024-03-14T13:47:00Z</dcterms:created>
  <dcterms:modified xsi:type="dcterms:W3CDTF">2024-08-29T08:52:00Z</dcterms:modified>
</cp:coreProperties>
</file>